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4F" w:rsidRPr="00556A17" w:rsidRDefault="00EA154F" w:rsidP="00EA154F">
      <w:pPr>
        <w:widowControl w:val="0"/>
        <w:jc w:val="center"/>
        <w:rPr>
          <w:smallCaps/>
          <w:sz w:val="20"/>
        </w:rPr>
      </w:pPr>
      <w:r>
        <w:rPr>
          <w:smallCaps/>
          <w:noProof/>
          <w:sz w:val="22"/>
          <w:szCs w:val="22"/>
        </w:rPr>
        <w:drawing>
          <wp:inline distT="0" distB="0" distL="0" distR="0">
            <wp:extent cx="4327696"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F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1972" cy="1887813"/>
                    </a:xfrm>
                    <a:prstGeom prst="rect">
                      <a:avLst/>
                    </a:prstGeom>
                  </pic:spPr>
                </pic:pic>
              </a:graphicData>
            </a:graphic>
          </wp:inline>
        </w:drawing>
      </w:r>
    </w:p>
    <w:p w:rsidR="00EA154F" w:rsidRPr="00556A17" w:rsidRDefault="00EA154F" w:rsidP="00EA154F">
      <w:pPr>
        <w:widowControl w:val="0"/>
        <w:jc w:val="center"/>
        <w:rPr>
          <w:smallCaps/>
          <w:sz w:val="20"/>
        </w:rPr>
      </w:pPr>
    </w:p>
    <w:p w:rsidR="00EA154F" w:rsidRDefault="00EA154F" w:rsidP="00EA154F">
      <w:pPr>
        <w:jc w:val="center"/>
        <w:rPr>
          <w:b/>
        </w:rPr>
      </w:pPr>
      <w:r>
        <w:rPr>
          <w:b/>
        </w:rPr>
        <w:t>WHAT’S HAPPENING IN SACRAMENTO:</w:t>
      </w:r>
    </w:p>
    <w:p w:rsidR="00EA154F" w:rsidRDefault="002848C6" w:rsidP="00EA154F">
      <w:pPr>
        <w:jc w:val="center"/>
        <w:rPr>
          <w:b/>
        </w:rPr>
      </w:pPr>
      <w:r>
        <w:rPr>
          <w:b/>
        </w:rPr>
        <w:t>SENATE BILL 209</w:t>
      </w:r>
      <w:r w:rsidR="00974057">
        <w:rPr>
          <w:b/>
        </w:rPr>
        <w:t xml:space="preserve"> AND ELECTRIC CHARGING STATIONS</w:t>
      </w:r>
    </w:p>
    <w:p w:rsidR="00EA154F" w:rsidRPr="00BE6398" w:rsidRDefault="00EA154F" w:rsidP="00EA154F">
      <w:pPr>
        <w:jc w:val="center"/>
        <w:rPr>
          <w:sz w:val="20"/>
          <w:u w:val="single"/>
        </w:rPr>
      </w:pPr>
    </w:p>
    <w:p w:rsidR="00EA154F" w:rsidRPr="00BE6398" w:rsidRDefault="00EA154F" w:rsidP="00EA154F">
      <w:pPr>
        <w:jc w:val="center"/>
        <w:rPr>
          <w:sz w:val="20"/>
        </w:rPr>
      </w:pPr>
      <w:r w:rsidRPr="00BE6398">
        <w:rPr>
          <w:sz w:val="20"/>
        </w:rPr>
        <w:t>By Holly Amaya, Esq.</w:t>
      </w:r>
    </w:p>
    <w:p w:rsidR="00EA154F" w:rsidRPr="00BE6398" w:rsidRDefault="00EA154F" w:rsidP="00EA154F">
      <w:pPr>
        <w:jc w:val="center"/>
        <w:rPr>
          <w:sz w:val="20"/>
        </w:rPr>
      </w:pPr>
      <w:r w:rsidRPr="00BE6398">
        <w:rPr>
          <w:sz w:val="20"/>
        </w:rPr>
        <w:t>Green Bryant &amp; French LLP</w:t>
      </w:r>
    </w:p>
    <w:p w:rsidR="00EA154F" w:rsidRDefault="00EA154F" w:rsidP="00EA154F"/>
    <w:p w:rsidR="00AE021C" w:rsidRDefault="00EA154F" w:rsidP="00AE021C">
      <w:pPr>
        <w:ind w:firstLine="720"/>
        <w:jc w:val="both"/>
        <w:rPr>
          <w:rFonts w:ascii="Times" w:hAnsi="Times"/>
          <w:szCs w:val="24"/>
        </w:rPr>
      </w:pPr>
      <w:r>
        <w:tab/>
      </w:r>
    </w:p>
    <w:p w:rsidR="00AE021C" w:rsidRDefault="00AE021C" w:rsidP="00AE021C">
      <w:pPr>
        <w:ind w:firstLine="720"/>
        <w:jc w:val="both"/>
        <w:rPr>
          <w:rFonts w:ascii="Times" w:hAnsi="Times"/>
          <w:szCs w:val="24"/>
        </w:rPr>
      </w:pPr>
      <w:r>
        <w:rPr>
          <w:rFonts w:ascii="Times" w:hAnsi="Times"/>
          <w:szCs w:val="24"/>
        </w:rPr>
        <w:t xml:space="preserve">A bill that strongly encourages homeowner’s associations to allow and install electric vehicle charging stations upon a member’s request garnered the signature of Governor Brown in </w:t>
      </w:r>
      <w:r w:rsidR="008777B5">
        <w:rPr>
          <w:rFonts w:ascii="Times" w:hAnsi="Times"/>
          <w:szCs w:val="24"/>
        </w:rPr>
        <w:t>July</w:t>
      </w:r>
      <w:r>
        <w:rPr>
          <w:rFonts w:ascii="Times" w:hAnsi="Times"/>
          <w:szCs w:val="24"/>
        </w:rPr>
        <w:t xml:space="preserve">, but lobbyists from the Community Associations Institute’s California Legislative Action Committee, of which GBF attorneys Elizabeth French and Holly Amaya are part, have convinced the governor to agree to fix certain glaring flaws in the legislation. </w:t>
      </w:r>
    </w:p>
    <w:p w:rsidR="00AE021C" w:rsidRDefault="00AE021C" w:rsidP="00AE021C">
      <w:pPr>
        <w:ind w:firstLine="720"/>
        <w:jc w:val="both"/>
        <w:rPr>
          <w:rFonts w:ascii="Times" w:hAnsi="Times"/>
          <w:szCs w:val="24"/>
        </w:rPr>
      </w:pPr>
    </w:p>
    <w:p w:rsidR="00CF7CA6" w:rsidRPr="00CF7CA6" w:rsidRDefault="00AE021C" w:rsidP="00CF7CA6">
      <w:pPr>
        <w:ind w:firstLine="720"/>
      </w:pPr>
      <w:r>
        <w:rPr>
          <w:rFonts w:ascii="Times" w:hAnsi="Times"/>
          <w:szCs w:val="24"/>
        </w:rPr>
        <w:t>Senate Bill 209 will a</w:t>
      </w:r>
      <w:r>
        <w:t>dd Section 1353.9 to the Civil Code.  It provides that any covenant, restriction, or condition in the governing documents of a common interest</w:t>
      </w:r>
      <w:r w:rsidR="00CF7CA6">
        <w:t xml:space="preserve"> development that effectively prohibits or restricts the installation or use of an electrical vehicle charging station is void and unenforceable.  The bill also allows an association to i</w:t>
      </w:r>
      <w:r w:rsidR="00974057">
        <w:t xml:space="preserve">mpose reasonable restrictions </w:t>
      </w:r>
      <w:r w:rsidR="001030E0">
        <w:t xml:space="preserve">(defined as those that do not significantly increase the cost of the station or decrease its efficiency or specified performance) </w:t>
      </w:r>
      <w:r w:rsidR="00974057">
        <w:t>on</w:t>
      </w:r>
      <w:r w:rsidR="001030E0">
        <w:t xml:space="preserve"> those stations, and outlines an approval process</w:t>
      </w:r>
      <w:r w:rsidR="00CF7CA6">
        <w:t xml:space="preserve"> association</w:t>
      </w:r>
      <w:r w:rsidR="001030E0">
        <w:t>s</w:t>
      </w:r>
      <w:r w:rsidR="00CF7CA6">
        <w:t xml:space="preserve"> must follow for </w:t>
      </w:r>
      <w:r w:rsidR="00974057">
        <w:t>applications for such stations</w:t>
      </w:r>
      <w:r w:rsidR="00CF7CA6">
        <w:t xml:space="preserve">.  </w:t>
      </w:r>
      <w:r w:rsidR="001030E0">
        <w:t xml:space="preserve">Such applications must be handled in the same manner as applications for architectural modifications, and an application not denied in writing within 60 days shall be deemed approved unless the delay is a result of a reasonable request for additional information.  </w:t>
      </w:r>
      <w:r w:rsidR="00CF7CA6">
        <w:t xml:space="preserve">An association that violates the bill’s provisions would be liable for </w:t>
      </w:r>
      <w:r w:rsidR="00974057">
        <w:t>damages and a civil penalty not to exceed $1,000.00</w:t>
      </w:r>
      <w:r w:rsidR="00CF7CA6">
        <w:t>.</w:t>
      </w:r>
    </w:p>
    <w:p w:rsidR="00CF7CA6" w:rsidRDefault="00CF7CA6" w:rsidP="00CF7CA6">
      <w:pPr>
        <w:ind w:firstLine="720"/>
      </w:pPr>
    </w:p>
    <w:p w:rsidR="00974057" w:rsidRDefault="001030E0" w:rsidP="00CF7CA6">
      <w:pPr>
        <w:ind w:firstLine="720"/>
      </w:pPr>
      <w:r>
        <w:t>Notably, t</w:t>
      </w:r>
      <w:r w:rsidR="00974057">
        <w:t xml:space="preserve">he bill also imposes considerable restrictions and requirements on homeowners who apply for such stations.  </w:t>
      </w:r>
      <w:r>
        <w:t>First, if</w:t>
      </w:r>
      <w:r w:rsidR="00CF7CA6">
        <w:t xml:space="preserve"> a station would be placed in a common area or exclusive use common area, the requesting homeowner </w:t>
      </w:r>
      <w:r>
        <w:t xml:space="preserve">must first seek approval from the association, and is then </w:t>
      </w:r>
      <w:r w:rsidR="00CF7CA6">
        <w:t>required to pay the various costs associated with mainta</w:t>
      </w:r>
      <w:r>
        <w:t>ining and repairing the station.  The homeowner is further responsible for co</w:t>
      </w:r>
      <w:r w:rsidR="00AE021C">
        <w:t xml:space="preserve">sts for damage to common areas and adjacent units resulting from installation </w:t>
      </w:r>
      <w:r>
        <w:t xml:space="preserve">and maintenance of the station, and must pay for electricity usage associated with the station.  Significantly, the homeowner must </w:t>
      </w:r>
      <w:r w:rsidR="00CF7CA6">
        <w:t xml:space="preserve">maintain </w:t>
      </w:r>
      <w:r w:rsidR="00AE021C">
        <w:t xml:space="preserve">an umbrella liability coverage policy of $1,000,000 that names the common interest development as an </w:t>
      </w:r>
      <w:r w:rsidR="00CF7CA6">
        <w:t>additional insured</w:t>
      </w:r>
      <w:r>
        <w:t xml:space="preserve"> (which will likely dissuade many owners from applying for such stations)</w:t>
      </w:r>
      <w:r w:rsidR="00CF7CA6">
        <w:t>.  Finally, the owner must disclose these conditions to prospective purcha</w:t>
      </w:r>
      <w:r w:rsidR="00974057">
        <w:t xml:space="preserve">sers of their separate interest.  </w:t>
      </w:r>
    </w:p>
    <w:p w:rsidR="00974057" w:rsidRDefault="00974057" w:rsidP="00CF7CA6">
      <w:pPr>
        <w:ind w:firstLine="720"/>
      </w:pPr>
    </w:p>
    <w:p w:rsidR="008777B5" w:rsidRDefault="00974057" w:rsidP="002848C6">
      <w:pPr>
        <w:ind w:firstLine="720"/>
      </w:pPr>
      <w:r>
        <w:t xml:space="preserve">However, the </w:t>
      </w:r>
      <w:r w:rsidR="002848C6">
        <w:t>bill as currently drafted and</w:t>
      </w:r>
      <w:r>
        <w:t xml:space="preserve"> signed violates the California constitutional provision </w:t>
      </w:r>
      <w:r w:rsidR="002848C6">
        <w:t>guarding against the</w:t>
      </w:r>
      <w:r>
        <w:t xml:space="preserve"> “taking” of real property.  Essentially, the legislation as codified could permit individual homeowners to unreasonably use,</w:t>
      </w:r>
      <w:r w:rsidR="002848C6">
        <w:t xml:space="preserve"> occupy, or otherwise “take” an association’s</w:t>
      </w:r>
      <w:r>
        <w:t xml:space="preserve"> common area</w:t>
      </w:r>
      <w:r w:rsidR="002848C6">
        <w:t xml:space="preserve"> or portions thereof</w:t>
      </w:r>
      <w:r>
        <w:t xml:space="preserve">.  </w:t>
      </w:r>
      <w:r w:rsidR="002848C6">
        <w:t>Additionally, the law conflicts with existi</w:t>
      </w:r>
      <w:r w:rsidR="00132331">
        <w:t>ng provisions of the Civil Code</w:t>
      </w:r>
      <w:r w:rsidR="002848C6">
        <w:t xml:space="preserve"> which require a two-thirds vote of an association’s membership to grant exclusive use</w:t>
      </w:r>
      <w:r w:rsidR="00132331">
        <w:t xml:space="preserve"> of the</w:t>
      </w:r>
      <w:r w:rsidR="002848C6">
        <w:t xml:space="preserve"> common area for such installations.  </w:t>
      </w:r>
      <w:r w:rsidR="008777B5">
        <w:t xml:space="preserve">Upon the urging of CAI-CLAC, </w:t>
      </w:r>
      <w:r>
        <w:t>Gover</w:t>
      </w:r>
      <w:r w:rsidR="002848C6">
        <w:t xml:space="preserve">nor Brown made note of </w:t>
      </w:r>
      <w:r w:rsidR="00132331">
        <w:t>these flaws</w:t>
      </w:r>
      <w:r>
        <w:t xml:space="preserve"> in a special signing message </w:t>
      </w:r>
      <w:r w:rsidR="00132331">
        <w:t xml:space="preserve">to the California State Senate </w:t>
      </w:r>
      <w:r>
        <w:t xml:space="preserve">in July. </w:t>
      </w:r>
      <w:r w:rsidR="00132331">
        <w:t xml:space="preserve"> In that</w:t>
      </w:r>
      <w:r w:rsidR="002848C6">
        <w:t xml:space="preserve"> message, Governor Brown noted that the bill’s author has assured him that she will pursue additional legislation – </w:t>
      </w:r>
      <w:r w:rsidR="00132331">
        <w:t>colloquially known as a</w:t>
      </w:r>
      <w:r w:rsidR="002848C6">
        <w:t xml:space="preserve"> “fix” bill – that “clearly protects” the right of common interest developments to establish reasonable rules for any use of common areas for charging stations.  </w:t>
      </w:r>
    </w:p>
    <w:p w:rsidR="008777B5" w:rsidRDefault="008777B5" w:rsidP="002848C6">
      <w:pPr>
        <w:ind w:firstLine="720"/>
      </w:pPr>
    </w:p>
    <w:p w:rsidR="002848C6" w:rsidRPr="00CF7CA6" w:rsidRDefault="002848C6" w:rsidP="002848C6">
      <w:pPr>
        <w:ind w:firstLine="720"/>
      </w:pPr>
      <w:r>
        <w:t>We will continue to c</w:t>
      </w:r>
      <w:r w:rsidR="00132331">
        <w:t>losely monitor the status of</w:t>
      </w:r>
      <w:r>
        <w:t xml:space="preserve"> legislation addressing these issues. </w:t>
      </w:r>
      <w:r w:rsidR="008777B5">
        <w:t xml:space="preserve"> Should you have further questions, please do not hesitate to contact the attorneys at Green Bryant &amp; French, LLP.</w:t>
      </w:r>
    </w:p>
    <w:p w:rsidR="00AE021C" w:rsidRDefault="00AE021C" w:rsidP="00AE021C">
      <w:pPr>
        <w:ind w:firstLine="720"/>
        <w:jc w:val="both"/>
        <w:rPr>
          <w:rFonts w:ascii="Times" w:hAnsi="Times"/>
          <w:szCs w:val="24"/>
        </w:rPr>
      </w:pPr>
      <w:bookmarkStart w:id="0" w:name="_GoBack"/>
      <w:bookmarkEnd w:id="0"/>
    </w:p>
    <w:p w:rsidR="00E35906" w:rsidRDefault="00E35906" w:rsidP="00AE021C"/>
    <w:p w:rsidR="00E35906" w:rsidRPr="00E35906" w:rsidRDefault="00E35906" w:rsidP="00EA154F">
      <w:pPr>
        <w:rPr>
          <w:i/>
          <w:sz w:val="20"/>
        </w:rPr>
      </w:pPr>
      <w:r>
        <w:rPr>
          <w:i/>
          <w:sz w:val="20"/>
        </w:rPr>
        <w:t>Holly Amaya, Esq., is an attorney with Green Bryant &amp; French, LLP.  She specializes in homeowner’s association law.  Ms. Amaya is a member of the California Legislative Action Committee of the Community Associations Institute and serves as a writer and editor for CLAC’s quarterly newsletter, which outlines proposed legislation affecting common interest developments in California.  She can be reached at (619) 239-7900, extension 114, or at hamaya@gbflawyers.com.</w:t>
      </w:r>
    </w:p>
    <w:p w:rsidR="001E6EAD" w:rsidRDefault="001E6EAD" w:rsidP="00EA154F"/>
    <w:p w:rsidR="001E6EAD" w:rsidRDefault="001E6EAD" w:rsidP="00EA154F"/>
    <w:p w:rsidR="001E6EAD" w:rsidRPr="00EA154F" w:rsidRDefault="001E6EAD" w:rsidP="00EA154F">
      <w:r>
        <w:tab/>
      </w:r>
    </w:p>
    <w:sectPr w:rsidR="001E6EAD" w:rsidRPr="00EA1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E74F3"/>
    <w:multiLevelType w:val="hybridMultilevel"/>
    <w:tmpl w:val="BA468D58"/>
    <w:lvl w:ilvl="0" w:tplc="BDF262B2">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4F"/>
    <w:rsid w:val="000A4D39"/>
    <w:rsid w:val="001030E0"/>
    <w:rsid w:val="00132331"/>
    <w:rsid w:val="001E6EAD"/>
    <w:rsid w:val="002848C6"/>
    <w:rsid w:val="003E6F3F"/>
    <w:rsid w:val="005F790B"/>
    <w:rsid w:val="008777B5"/>
    <w:rsid w:val="00974057"/>
    <w:rsid w:val="00AE021C"/>
    <w:rsid w:val="00AE0F5C"/>
    <w:rsid w:val="00BE6398"/>
    <w:rsid w:val="00CF7CA6"/>
    <w:rsid w:val="00DD4BAF"/>
    <w:rsid w:val="00E35906"/>
    <w:rsid w:val="00EA154F"/>
    <w:rsid w:val="00F350DD"/>
    <w:rsid w:val="00F6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54F"/>
    <w:rPr>
      <w:rFonts w:ascii="Tahoma" w:hAnsi="Tahoma" w:cs="Tahoma"/>
      <w:sz w:val="16"/>
      <w:szCs w:val="16"/>
    </w:rPr>
  </w:style>
  <w:style w:type="character" w:customStyle="1" w:styleId="BalloonTextChar">
    <w:name w:val="Balloon Text Char"/>
    <w:basedOn w:val="DefaultParagraphFont"/>
    <w:link w:val="BalloonText"/>
    <w:uiPriority w:val="99"/>
    <w:semiHidden/>
    <w:rsid w:val="00EA154F"/>
    <w:rPr>
      <w:rFonts w:ascii="Tahoma" w:eastAsia="Times New Roman" w:hAnsi="Tahoma" w:cs="Tahoma"/>
      <w:sz w:val="16"/>
      <w:szCs w:val="16"/>
    </w:rPr>
  </w:style>
  <w:style w:type="paragraph" w:styleId="ListParagraph">
    <w:name w:val="List Paragraph"/>
    <w:basedOn w:val="Normal"/>
    <w:uiPriority w:val="34"/>
    <w:qFormat/>
    <w:rsid w:val="00AE021C"/>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54F"/>
    <w:rPr>
      <w:rFonts w:ascii="Tahoma" w:hAnsi="Tahoma" w:cs="Tahoma"/>
      <w:sz w:val="16"/>
      <w:szCs w:val="16"/>
    </w:rPr>
  </w:style>
  <w:style w:type="character" w:customStyle="1" w:styleId="BalloonTextChar">
    <w:name w:val="Balloon Text Char"/>
    <w:basedOn w:val="DefaultParagraphFont"/>
    <w:link w:val="BalloonText"/>
    <w:uiPriority w:val="99"/>
    <w:semiHidden/>
    <w:rsid w:val="00EA154F"/>
    <w:rPr>
      <w:rFonts w:ascii="Tahoma" w:eastAsia="Times New Roman" w:hAnsi="Tahoma" w:cs="Tahoma"/>
      <w:sz w:val="16"/>
      <w:szCs w:val="16"/>
    </w:rPr>
  </w:style>
  <w:style w:type="paragraph" w:styleId="ListParagraph">
    <w:name w:val="List Paragraph"/>
    <w:basedOn w:val="Normal"/>
    <w:uiPriority w:val="34"/>
    <w:qFormat/>
    <w:rsid w:val="00AE021C"/>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 Amaya</dc:creator>
  <cp:lastModifiedBy>Holly L. Amaya</cp:lastModifiedBy>
  <cp:revision>5</cp:revision>
  <dcterms:created xsi:type="dcterms:W3CDTF">2011-10-19T23:44:00Z</dcterms:created>
  <dcterms:modified xsi:type="dcterms:W3CDTF">2011-10-20T00:44:00Z</dcterms:modified>
</cp:coreProperties>
</file>